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F1345C" w:rsidRDefault="000D0067">
      <w:pPr>
        <w:jc w:val="center"/>
        <w:rPr>
          <w:rFonts w:ascii="標楷體" w:eastAsia="標楷體" w:hAnsi="標楷體"/>
          <w:b/>
          <w:bCs/>
          <w:sz w:val="36"/>
          <w:szCs w:val="36"/>
        </w:rPr>
      </w:pPr>
      <w:bookmarkStart w:id="0" w:name="_GoBack"/>
      <w:bookmarkEnd w:id="0"/>
      <w:r w:rsidRPr="00F1345C">
        <w:rPr>
          <w:rFonts w:ascii="標楷體" w:eastAsia="標楷體" w:hAnsi="標楷體" w:hint="eastAsia"/>
          <w:b/>
          <w:bCs/>
          <w:sz w:val="36"/>
          <w:szCs w:val="36"/>
        </w:rPr>
        <w:t>臺中市立善水國民中小學</w:t>
      </w:r>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r w:rsidR="007918C2" w:rsidRPr="00F1345C">
        <w:rPr>
          <w:rFonts w:ascii="標楷體" w:eastAsia="標楷體" w:hAnsi="標楷體" w:cs="Tahoma" w:hint="eastAsia"/>
        </w:rPr>
        <w:t>臺中市立善水國民中小學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學年度老少共學技藝教育暨混齡教育實驗計畫書。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本校招生對象含括國中及國小5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r w:rsidR="00F3481F" w:rsidRPr="00F1345C">
        <w:rPr>
          <w:rFonts w:ascii="標楷體" w:eastAsia="標楷體" w:hAnsi="標楷體"/>
        </w:rPr>
        <w:t>一</w:t>
      </w:r>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殺行為(跳樓、服藥、燒炭、割腕等行為)。</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攻擊、性侵（性騷擾）等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生鑑定及就學輔導會（鑑輔會）審查鑑定通過者，其於國民教育階段，應就近入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無轉介就讀意願。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申請與轉介</w:t>
      </w:r>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報臺中市政府教育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轉介就讀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議進行複審，未符合初審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通過複審學生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及複審會議決議情形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為候補名單，俟有名額再行通知原申請單位。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109</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0341C0" w:rsidRPr="00F1345C">
        <w:rPr>
          <w:rFonts w:ascii="標楷體" w:eastAsia="標楷體" w:hAnsi="標楷體" w:hint="eastAsia"/>
        </w:rPr>
        <w:t>1</w:t>
      </w:r>
      <w:r w:rsidR="00B367D4" w:rsidRPr="00F1345C">
        <w:rPr>
          <w:rFonts w:ascii="標楷體" w:eastAsia="標楷體" w:hAnsi="標楷體" w:hint="eastAsia"/>
        </w:rPr>
        <w:t>日</w:t>
      </w:r>
      <w:r w:rsidR="00E957DA" w:rsidRPr="00F1345C">
        <w:rPr>
          <w:rFonts w:ascii="標楷體" w:eastAsia="標楷體" w:hAnsi="標楷體" w:hint="eastAsia"/>
        </w:rPr>
        <w:t>（星期五）</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r w:rsidR="006F3CC9" w:rsidRPr="00F1345C">
        <w:rPr>
          <w:rFonts w:ascii="標楷體" w:eastAsia="標楷體" w:hAnsi="標楷體" w:hint="eastAsia"/>
        </w:rPr>
        <w:t>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53A0"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轉介就讀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E05C"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4F73A"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52722"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58C1"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4D95"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4A78"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A8C5F"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0DCD"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1619"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B689"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A044"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9ACE8"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301D"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18E5F"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5D918"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E9EC"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65E7"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A3557"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3BFE6"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11C9"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15C7D"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0305"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D9FF7"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4F4F"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EBD5"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68687"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A785"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FB54"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lastRenderedPageBreak/>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CE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EF96"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65AAE"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C60E"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3C3"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5F3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C1CCF"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249E4"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99B4"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CC13"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82DA"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244C"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DD475"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9D142"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772E"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D281"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52CF"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7E6F"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C71CC"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2D9"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F003"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B85B"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A971B"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9887"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DBBE1"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656A"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D21"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柒</w:t>
      </w:r>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二吋半身照片，一張貼於申請表，一張浮貼（背面書寫學校及學生姓名）。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r w:rsidR="00860635" w:rsidRPr="00F1345C">
        <w:rPr>
          <w:rFonts w:ascii="標楷體" w:eastAsia="標楷體" w:hAnsi="標楷體" w:hint="eastAsia"/>
        </w:rPr>
        <w:t>介</w:t>
      </w:r>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r w:rsidR="009F13E9"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有中輟紀錄者請加附中途輟學生個人檔案表影本）</w:t>
      </w:r>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醫療證明與相關評估資料、疑</w:t>
      </w:r>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似身心障礙或學情障學生之IEP資料、鑑定公文含安置建議書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轉介</w:t>
      </w:r>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且轉介就讀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經臺中市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生得將學籍移轉至「臺中市立善水國民中小學」。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經臺中市政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，得進入本校國中部就讀，學籍得逕登錄於「臺中市立善水國民中小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轉介就讀本校之國小部6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導就讀執行小組審查評估，經臺中市政府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為符合慈輝教育精神，有效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轉介</w:t>
      </w:r>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學生中輟三週以上，仍未尋獲者。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教育學生鑑定及就學輔導會（鑑輔會）審查鑑定通過者，其於國民教育階段，應就近入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轉介</w:t>
      </w:r>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r w:rsidR="00482E12" w:rsidRPr="00F1345C">
        <w:rPr>
          <w:rFonts w:ascii="標楷體" w:eastAsia="標楷體" w:hAnsi="標楷體" w:hint="eastAsia"/>
          <w:bCs/>
        </w:rPr>
        <w:t>期間</w:t>
      </w:r>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4C6C"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Pr="00F1345C">
        <w:rPr>
          <w:rFonts w:ascii="標楷體" w:eastAsia="標楷體" w:hAnsi="標楷體" w:hint="eastAsia"/>
          <w:b/>
          <w:sz w:val="32"/>
          <w:szCs w:val="28"/>
        </w:rPr>
        <w:t>臺中市立善水</w:t>
      </w:r>
      <w:r w:rsidRPr="00F1345C">
        <w:rPr>
          <w:rFonts w:ascii="標楷體" w:eastAsia="標楷體" w:hAnsi="標楷體" w:hint="eastAsia"/>
          <w:b/>
          <w:bCs/>
          <w:sz w:val="32"/>
          <w:szCs w:val="28"/>
        </w:rPr>
        <w:t>國民中小學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轉介單位名稱：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列印彙整，裝訂成冊並於右下角編寫頁碼。繳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複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6397"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r w:rsidR="000856E9" w:rsidRPr="00F1345C">
        <w:rPr>
          <w:rFonts w:ascii="標楷體" w:eastAsia="標楷體" w:hAnsi="標楷體" w:hint="eastAsia"/>
          <w:b/>
          <w:sz w:val="34"/>
          <w:szCs w:val="34"/>
        </w:rPr>
        <w:t>臺中</w:t>
      </w:r>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國民中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(會後請盡速補繳會議紀錄)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r w:rsidRPr="00F1345C">
              <w:rPr>
                <w:rFonts w:hAnsi="標楷體" w:hint="eastAsia"/>
              </w:rPr>
              <w:t>住址</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 xml:space="preserve">父母同住  □雙亡依親  □父亡依母  □父亡依親 □母亡依父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母亡依親  □離異依父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r w:rsidRPr="00F1345C">
              <w:rPr>
                <w:rFonts w:ascii="標楷體" w:eastAsia="標楷體" w:hAnsi="標楷體" w:hint="eastAsia"/>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r w:rsidR="008C42E3" w:rsidRPr="00F1345C">
              <w:rPr>
                <w:rFonts w:ascii="標楷體" w:eastAsia="標楷體" w:hAnsi="標楷體"/>
              </w:rPr>
              <w:t>障</w:t>
            </w:r>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E066"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（國民中學或國民小學）建議轉介，</w:t>
      </w:r>
      <w:r w:rsidRPr="00F1345C">
        <w:rPr>
          <w:rFonts w:ascii="標楷體" w:eastAsia="標楷體" w:hAnsi="標楷體"/>
          <w:spacing w:val="30"/>
          <w:sz w:val="28"/>
          <w:szCs w:val="26"/>
        </w:rPr>
        <w:t>申請進入</w:t>
      </w:r>
      <w:r w:rsidRPr="00F1345C">
        <w:rPr>
          <w:rFonts w:ascii="標楷體" w:eastAsia="標楷體" w:hAnsi="標楷體" w:hint="eastAsia"/>
          <w:spacing w:val="30"/>
          <w:sz w:val="28"/>
          <w:szCs w:val="26"/>
        </w:rPr>
        <w:t>臺中市立善水國民中小學（以下稱本校），願意接受本校各項教育及學校規定，本校竭誠歡迎您，並願提供溫馨舒適的生活及教育環境，一起共同成長。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校得依相關規定處理，嚴重時得依相關法律處理。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前開列舉以外，其他涉及學生權益或本校師生全體權益重大之事件，本校得依法令或基於教育本旨，按情節之輕重為適當之處理。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4722"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（國民中學或國民小學）建議轉介，</w:t>
      </w:r>
      <w:r w:rsidRPr="00F1345C">
        <w:rPr>
          <w:rFonts w:ascii="標楷體" w:eastAsia="標楷體" w:hAnsi="標楷體"/>
          <w:spacing w:val="30"/>
          <w:sz w:val="26"/>
          <w:szCs w:val="26"/>
        </w:rPr>
        <w:t>申請進入</w:t>
      </w:r>
      <w:r w:rsidR="00A5396B" w:rsidRPr="00F1345C">
        <w:rPr>
          <w:rFonts w:ascii="標楷體" w:eastAsia="標楷體" w:hAnsi="標楷體" w:hint="eastAsia"/>
          <w:spacing w:val="30"/>
          <w:sz w:val="26"/>
          <w:szCs w:val="26"/>
        </w:rPr>
        <w:t>臺中</w:t>
      </w:r>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國民中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三、學生入學後，發生不假外出、逃學或有違反法律之情事，貴校得依相關規定處理，嚴重時得依相關法律處理。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五、前開列舉以外，其他涉及學生權益或貴校師生全體權益重大之事件，貴校得依法令或基於教育本旨，按情節之輕重為適當之處理。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5423"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擬轉介至</w:t>
      </w:r>
      <w:r w:rsidRPr="00F1345C">
        <w:rPr>
          <w:rFonts w:eastAsia="標楷體" w:hint="eastAsia"/>
          <w:sz w:val="32"/>
          <w:szCs w:val="32"/>
          <w:u w:val="single"/>
        </w:rPr>
        <w:t>臺中市立善水國民中小學</w:t>
      </w:r>
      <w:r w:rsidRPr="00F1345C">
        <w:rPr>
          <w:rFonts w:eastAsia="標楷體" w:hint="eastAsia"/>
          <w:sz w:val="32"/>
          <w:szCs w:val="32"/>
        </w:rPr>
        <w:t>就讀；本校承諾該生於貴校就讀期間，</w:t>
      </w:r>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若發生適應不良之情形時，同意立即讓該生轉回原校就讀，以保障學生受教權益。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原學校須完成此同意書併附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8"/>
          <w:footerReference w:type="default" r:id="rId9"/>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74A"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家系圖</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r w:rsidRPr="00F1345C">
        <w:rPr>
          <w:rFonts w:ascii="標楷體" w:eastAsia="標楷體" w:hAnsi="標楷體" w:hint="eastAsia"/>
          <w:sz w:val="32"/>
          <w:szCs w:val="32"/>
        </w:rPr>
        <w:t>以上資此證明</w:t>
      </w:r>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(輔導室核章)</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105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轉介</w:t>
      </w:r>
      <w:r w:rsidR="009F1966" w:rsidRPr="00F1345C">
        <w:rPr>
          <w:rFonts w:ascii="標楷體" w:eastAsia="標楷體" w:hAnsi="標楷體" w:hint="eastAsia"/>
          <w:spacing w:val="30"/>
          <w:sz w:val="32"/>
          <w:szCs w:val="32"/>
        </w:rPr>
        <w:t>就讀</w:t>
      </w:r>
      <w:r w:rsidRPr="00F1345C">
        <w:rPr>
          <w:rFonts w:ascii="標楷體" w:eastAsia="標楷體" w:hAnsi="標楷體" w:hint="eastAsia"/>
          <w:spacing w:val="30"/>
          <w:sz w:val="32"/>
          <w:szCs w:val="32"/>
        </w:rPr>
        <w:t>臺中市立善水國民中小學(以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r w:rsidRPr="00F1345C">
        <w:rPr>
          <w:rFonts w:ascii="標楷體" w:eastAsia="標楷體" w:hAnsi="標楷體" w:hint="eastAsia"/>
          <w:b w:val="0"/>
          <w:sz w:val="32"/>
          <w:szCs w:val="32"/>
        </w:rPr>
        <w:t>臺</w:t>
      </w:r>
      <w:r w:rsidRPr="00F1345C">
        <w:rPr>
          <w:rFonts w:ascii="標楷體" w:eastAsia="標楷體" w:hAnsi="標楷體"/>
          <w:b w:val="0"/>
          <w:sz w:val="32"/>
          <w:szCs w:val="32"/>
        </w:rPr>
        <w:t>中市立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水國民中小學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不適合學校住宿生活之學生，如患有精神疾病、法定傳染病、藥癮毒癮、曾有自殺行為(跳樓、服藥、燒炭、割腕等行為)</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二週</w:t>
      </w:r>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並繳</w:t>
      </w:r>
      <w:r w:rsidRPr="00F1345C">
        <w:rPr>
          <w:rFonts w:ascii="標楷體" w:eastAsia="標楷體" w:hAnsi="標楷體"/>
          <w:b w:val="0"/>
          <w:sz w:val="32"/>
          <w:szCs w:val="32"/>
        </w:rPr>
        <w:t>交至貴校教務處，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r w:rsidRPr="00F1345C">
        <w:rPr>
          <w:rFonts w:ascii="標楷體" w:eastAsia="標楷體" w:hAnsi="標楷體"/>
          <w:b w:val="0"/>
          <w:sz w:val="32"/>
          <w:szCs w:val="32"/>
        </w:rPr>
        <w:t>介。</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r w:rsidRPr="00F1345C">
        <w:rPr>
          <w:rFonts w:ascii="標楷體" w:eastAsia="標楷體" w:hAnsi="標楷體" w:hint="eastAsia"/>
          <w:b/>
          <w:sz w:val="36"/>
          <w:szCs w:val="32"/>
        </w:rPr>
        <w:t>臺中</w:t>
      </w:r>
      <w:r w:rsidRPr="00F1345C">
        <w:rPr>
          <w:rFonts w:ascii="標楷體" w:eastAsia="標楷體" w:hAnsi="標楷體"/>
          <w:b/>
          <w:sz w:val="36"/>
          <w:szCs w:val="32"/>
        </w:rPr>
        <w:t>市立善水國民中小學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2A" w:rsidRDefault="006F642A">
      <w:r>
        <w:separator/>
      </w:r>
    </w:p>
  </w:endnote>
  <w:endnote w:type="continuationSeparator" w:id="0">
    <w:p w:rsidR="006F642A" w:rsidRDefault="006F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7047">
      <w:rPr>
        <w:rStyle w:val="a6"/>
        <w:noProof/>
      </w:rPr>
      <w:t>2</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F311B0" w:rsidRPr="00F311B0">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2A" w:rsidRDefault="006F642A">
      <w:r>
        <w:separator/>
      </w:r>
    </w:p>
  </w:footnote>
  <w:footnote w:type="continuationSeparator" w:id="0">
    <w:p w:rsidR="006F642A" w:rsidRDefault="006F6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15:restartNumberingAfterBreak="0">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15:restartNumberingAfterBreak="0">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15:restartNumberingAfterBreak="0">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15:restartNumberingAfterBreak="0">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15:restartNumberingAfterBreak="0">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15:restartNumberingAfterBreak="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15:restartNumberingAfterBreak="0">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15:restartNumberingAfterBreak="0">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15:restartNumberingAfterBreak="0">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15:restartNumberingAfterBreak="0">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A0C53"/>
    <w:rsid w:val="006A1D18"/>
    <w:rsid w:val="006B3E56"/>
    <w:rsid w:val="006B5018"/>
    <w:rsid w:val="006C191D"/>
    <w:rsid w:val="006C721A"/>
    <w:rsid w:val="006D1584"/>
    <w:rsid w:val="006D22B4"/>
    <w:rsid w:val="006E22E8"/>
    <w:rsid w:val="006E67BE"/>
    <w:rsid w:val="006F3CC9"/>
    <w:rsid w:val="006F3CCC"/>
    <w:rsid w:val="006F4515"/>
    <w:rsid w:val="006F642A"/>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60BF4"/>
    <w:rsid w:val="00761E66"/>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AE1"/>
    <w:rsid w:val="00C17541"/>
    <w:rsid w:val="00C21850"/>
    <w:rsid w:val="00C237E9"/>
    <w:rsid w:val="00C23D54"/>
    <w:rsid w:val="00C34330"/>
    <w:rsid w:val="00C40C66"/>
    <w:rsid w:val="00C42C13"/>
    <w:rsid w:val="00C662FE"/>
    <w:rsid w:val="00C67047"/>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205BDA-7DF6-4E27-9525-92AEF36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F67E-836B-453C-B691-46D9672C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Windows 使用者</cp:lastModifiedBy>
  <cp:revision>2</cp:revision>
  <cp:lastPrinted>2021-04-13T00:20:00Z</cp:lastPrinted>
  <dcterms:created xsi:type="dcterms:W3CDTF">2021-04-21T01:54:00Z</dcterms:created>
  <dcterms:modified xsi:type="dcterms:W3CDTF">2021-04-21T01:54:00Z</dcterms:modified>
</cp:coreProperties>
</file>